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92858" w14:textId="2D3A7468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</w:t>
      </w:r>
      <w:r w:rsidR="00927AA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01592">
        <w:rPr>
          <w:b/>
          <w:noProof/>
          <w:sz w:val="24"/>
        </w:rPr>
        <w:tab/>
      </w:r>
      <w:r w:rsidR="00927AA0" w:rsidRPr="00927AA0">
        <w:rPr>
          <w:b/>
          <w:noProof/>
          <w:sz w:val="24"/>
        </w:rPr>
        <w:t>R1-2106761</w:t>
      </w:r>
    </w:p>
    <w:p w14:paraId="1A4D80EA" w14:textId="7D1E99F7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C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457C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7C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97284D8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205F8E">
        <w:rPr>
          <w:rFonts w:ascii="Arial" w:hAnsi="Arial"/>
          <w:sz w:val="24"/>
        </w:rPr>
        <w:t>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F64234E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2389A" w:rsidRPr="00E2389A">
        <w:rPr>
          <w:rFonts w:ascii="Arial" w:hAnsi="Arial"/>
          <w:sz w:val="24"/>
        </w:rPr>
        <w:t>Timing relationship enhancements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1C61593" w14:textId="77777777" w:rsidR="003009A5" w:rsidRDefault="003009A5" w:rsidP="003009A5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47367EA5" w14:textId="77777777" w:rsidR="003009A5" w:rsidRDefault="003009A5" w:rsidP="003009A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C3940E1" w14:textId="3643F79B" w:rsidR="00E26E6A" w:rsidRDefault="00E26E6A" w:rsidP="00E26E6A">
      <w:pPr>
        <w:pStyle w:val="NO"/>
        <w:ind w:left="0" w:firstLine="0"/>
      </w:pPr>
      <w:r w:rsidRPr="00CA5BE5">
        <w:t xml:space="preserve">In </w:t>
      </w:r>
      <w:r>
        <w:t>RAN#92-e, the following RAN1 objectives were approved for eMTC/NB-IoT over NTN in the WID</w:t>
      </w:r>
      <w:r w:rsidR="00A27BA8">
        <w:t xml:space="preserve"> [1]</w:t>
      </w:r>
      <w:r w:rsidRPr="00CA5BE5">
        <w:t>:</w:t>
      </w:r>
    </w:p>
    <w:p w14:paraId="1B7AE24A" w14:textId="3416A268" w:rsidR="00E26E6A" w:rsidRPr="004244A1" w:rsidRDefault="00E26E6A" w:rsidP="00E26E6A">
      <w:pPr>
        <w:rPr>
          <w:szCs w:val="22"/>
        </w:rPr>
      </w:pPr>
      <w:r w:rsidRPr="004244A1">
        <w:rPr>
          <w:szCs w:val="22"/>
        </w:rPr>
        <w:t xml:space="preserve">Specify the following time and frequency synchronization enhancements, using NR_NTN_solutions </w:t>
      </w:r>
      <w:r w:rsidR="00DA7FFB" w:rsidRPr="004244A1">
        <w:rPr>
          <w:szCs w:val="22"/>
        </w:rPr>
        <w:t>WI agreements</w:t>
      </w:r>
      <w:r w:rsidRPr="004244A1">
        <w:rPr>
          <w:szCs w:val="22"/>
        </w:rPr>
        <w:t xml:space="preserve"> as baseline, </w:t>
      </w:r>
      <w:r w:rsidRPr="004244A1">
        <w:t>according to Section 8 in TR 36.763</w:t>
      </w:r>
      <w:r w:rsidRPr="004244A1">
        <w:rPr>
          <w:szCs w:val="22"/>
        </w:rPr>
        <w:t xml:space="preserve">: </w:t>
      </w:r>
    </w:p>
    <w:p w14:paraId="5447EF99" w14:textId="77777777" w:rsidR="00E26E6A" w:rsidRDefault="00E26E6A" w:rsidP="00E26E6A">
      <w:pPr>
        <w:pStyle w:val="B1"/>
      </w:pPr>
      <w:r>
        <w:t>-</w:t>
      </w:r>
      <w:r>
        <w:tab/>
      </w:r>
      <w:r w:rsidRPr="00A45F9D">
        <w:t>UE pre-compensation including ephemeris format (orbital / Position -Velocity)</w:t>
      </w:r>
    </w:p>
    <w:p w14:paraId="66BF9BB1" w14:textId="77777777" w:rsidR="00E26E6A" w:rsidRPr="00A45F9D" w:rsidRDefault="00E26E6A" w:rsidP="00E26E6A">
      <w:pPr>
        <w:pStyle w:val="B1"/>
      </w:pPr>
      <w:r>
        <w:t>-</w:t>
      </w:r>
      <w:r>
        <w:tab/>
      </w:r>
      <w:r w:rsidRPr="005519D5">
        <w:t xml:space="preserve">UE pre-compensation for UL synchronization in RRC_IDLE and RRC_CONNECTED states based at least on its GNSS-acquired position and the serving satellite ephemeris </w:t>
      </w:r>
    </w:p>
    <w:p w14:paraId="5FC4D0B5" w14:textId="77777777" w:rsidR="00E26E6A" w:rsidRPr="00A45F9D" w:rsidRDefault="00E26E6A" w:rsidP="00E26E6A">
      <w:pPr>
        <w:pStyle w:val="B1"/>
      </w:pPr>
      <w:r w:rsidRPr="00A45F9D">
        <w:t>-</w:t>
      </w:r>
      <w:r w:rsidRPr="00A45F9D">
        <w:tab/>
        <w:t>Timing advance formula (granularity of the timing advance may be different)</w:t>
      </w:r>
    </w:p>
    <w:p w14:paraId="1C878FD1" w14:textId="77777777" w:rsidR="00E26E6A" w:rsidRPr="00A45F9D" w:rsidRDefault="00E26E6A" w:rsidP="00E26E6A">
      <w:pPr>
        <w:pStyle w:val="B1"/>
      </w:pPr>
      <w:r w:rsidRPr="00A45F9D">
        <w:t>-</w:t>
      </w:r>
      <w:r w:rsidRPr="00A45F9D">
        <w:tab/>
        <w:t>Combination of Open (i.e. UE autonomous TA estimation, and common TA estimation) and Closed TA (i.e., received TA commands) control loops in RRC_CONNECTED state</w:t>
      </w:r>
    </w:p>
    <w:p w14:paraId="17A4F329" w14:textId="77777777" w:rsidR="00E26E6A" w:rsidRPr="008B1F7C" w:rsidRDefault="00E26E6A" w:rsidP="00E26E6A">
      <w:r>
        <w:t>Agreements on the above are up to the decision in NR_</w:t>
      </w:r>
      <w:r w:rsidRPr="00667392">
        <w:t>NTN</w:t>
      </w:r>
      <w:r>
        <w:t>_Solutions</w:t>
      </w:r>
      <w:r w:rsidRPr="00667392">
        <w:t xml:space="preserve"> WI</w:t>
      </w:r>
      <w:r>
        <w:t xml:space="preserve"> and will be used for IoT NTN with minimum changes, if any.</w:t>
      </w:r>
    </w:p>
    <w:p w14:paraId="2E112225" w14:textId="77777777" w:rsidR="00E26E6A" w:rsidRDefault="00E26E6A" w:rsidP="00E26E6A">
      <w:pPr>
        <w:rPr>
          <w:b/>
          <w:i/>
          <w:szCs w:val="22"/>
          <w:u w:val="single"/>
        </w:rPr>
      </w:pPr>
    </w:p>
    <w:p w14:paraId="6257AC66" w14:textId="77777777" w:rsidR="00E26E6A" w:rsidRPr="004244A1" w:rsidRDefault="00E26E6A" w:rsidP="00E26E6A">
      <w:pPr>
        <w:rPr>
          <w:szCs w:val="22"/>
        </w:rPr>
      </w:pPr>
      <w:r w:rsidRPr="004244A1">
        <w:rPr>
          <w:szCs w:val="22"/>
        </w:rPr>
        <w:t xml:space="preserve">Specify the following time and frequency synchronization enhancements that are not covered by </w:t>
      </w:r>
      <w:r w:rsidRPr="004244A1">
        <w:t xml:space="preserve">NR_NTN_Solutions WI </w:t>
      </w:r>
      <w:r w:rsidRPr="004244A1">
        <w:rPr>
          <w:szCs w:val="22"/>
        </w:rPr>
        <w:t xml:space="preserve">agreements, </w:t>
      </w:r>
      <w:r w:rsidRPr="004244A1">
        <w:t>according to Section 8 in TR 36.763</w:t>
      </w:r>
      <w:r w:rsidRPr="004244A1">
        <w:rPr>
          <w:szCs w:val="22"/>
        </w:rPr>
        <w:t>:</w:t>
      </w:r>
    </w:p>
    <w:p w14:paraId="587D9F6B" w14:textId="77777777" w:rsidR="00E26E6A" w:rsidRPr="00667392" w:rsidRDefault="00E26E6A" w:rsidP="00E26E6A">
      <w:pPr>
        <w:pStyle w:val="B1"/>
      </w:pPr>
      <w:r>
        <w:t>-</w:t>
      </w:r>
      <w:r>
        <w:tab/>
      </w:r>
      <w:r w:rsidRPr="00667392">
        <w:t xml:space="preserve">Long PUSCH and PRACH Transmission enhancements: segmented UE pre-compensations, new UL gaps and/or implementation solutions, time units and duration of </w:t>
      </w:r>
      <w:r>
        <w:t>segments.</w:t>
      </w:r>
    </w:p>
    <w:p w14:paraId="6659A7F5" w14:textId="77777777" w:rsidR="00E26E6A" w:rsidRPr="00667392" w:rsidRDefault="00E26E6A" w:rsidP="00E26E6A">
      <w:pPr>
        <w:pStyle w:val="B1"/>
      </w:pPr>
      <w:r>
        <w:t>-</w:t>
      </w:r>
      <w:r>
        <w:tab/>
      </w:r>
      <w:r w:rsidRPr="00667392">
        <w:t>Validity timer for UL synchronization: satellite ephemeris, and potentially other aspects</w:t>
      </w:r>
    </w:p>
    <w:p w14:paraId="188D44E9" w14:textId="77777777" w:rsidR="00E26E6A" w:rsidRDefault="00E26E6A" w:rsidP="00E26E6A">
      <w:pPr>
        <w:pStyle w:val="B1"/>
      </w:pPr>
      <w:r>
        <w:t>-</w:t>
      </w:r>
      <w:r>
        <w:tab/>
      </w:r>
      <w:r w:rsidRPr="00667392">
        <w:t xml:space="preserve">DL synchronization enhancements: </w:t>
      </w:r>
      <w:r>
        <w:t xml:space="preserve">A single solution will be selected between: </w:t>
      </w:r>
      <w:r w:rsidRPr="00667392">
        <w:t>new channel raster, (part of) ARFCN-indication-in-MIB</w:t>
      </w:r>
      <w:r>
        <w:t xml:space="preserve">. </w:t>
      </w:r>
    </w:p>
    <w:p w14:paraId="7E996F7D" w14:textId="77777777" w:rsidR="00E26E6A" w:rsidRPr="00737838" w:rsidRDefault="00E26E6A" w:rsidP="00E26E6A">
      <w:pPr>
        <w:pStyle w:val="B1"/>
      </w:pPr>
      <w:r>
        <w:t>-</w:t>
      </w:r>
      <w:r>
        <w:tab/>
      </w:r>
      <w:r w:rsidRPr="00737838">
        <w:t>GNSS Measurements: Validity of a GNSS position fix and details of acquiring a GNSS position fix, duration of validity, in RRC CONNECTED mode for sporadic short transmission</w:t>
      </w:r>
    </w:p>
    <w:p w14:paraId="5F570E3C" w14:textId="77777777" w:rsidR="00E26E6A" w:rsidRDefault="00E26E6A" w:rsidP="00E26E6A">
      <w:pPr>
        <w:rPr>
          <w:b/>
          <w:i/>
          <w:szCs w:val="22"/>
          <w:u w:val="single"/>
        </w:rPr>
      </w:pPr>
    </w:p>
    <w:p w14:paraId="29CA0F81" w14:textId="24CE1BE5" w:rsidR="00E26E6A" w:rsidRPr="004244A1" w:rsidRDefault="00E26E6A" w:rsidP="00E26E6A">
      <w:pPr>
        <w:rPr>
          <w:szCs w:val="22"/>
        </w:rPr>
      </w:pPr>
      <w:r w:rsidRPr="004244A1">
        <w:rPr>
          <w:szCs w:val="22"/>
        </w:rPr>
        <w:t xml:space="preserve">Specify the </w:t>
      </w:r>
      <w:r w:rsidR="00DA7FFB" w:rsidRPr="004244A1">
        <w:rPr>
          <w:szCs w:val="22"/>
        </w:rPr>
        <w:t>following IoT</w:t>
      </w:r>
      <w:r w:rsidRPr="004244A1">
        <w:rPr>
          <w:szCs w:val="22"/>
        </w:rPr>
        <w:t xml:space="preserve"> NTN specific timing relationships enhancements </w:t>
      </w:r>
      <w:r w:rsidRPr="004244A1">
        <w:t>according to Section 8 in TR 36.763</w:t>
      </w:r>
      <w:r w:rsidRPr="004244A1">
        <w:rPr>
          <w:szCs w:val="22"/>
        </w:rPr>
        <w:t>:</w:t>
      </w:r>
    </w:p>
    <w:p w14:paraId="47C19D6E" w14:textId="77777777" w:rsidR="00E26E6A" w:rsidRPr="00667392" w:rsidRDefault="00E26E6A" w:rsidP="00E26E6A">
      <w:pPr>
        <w:pStyle w:val="B1"/>
      </w:pPr>
      <w:r>
        <w:t>-</w:t>
      </w:r>
      <w:r>
        <w:tab/>
      </w:r>
      <w:r w:rsidRPr="00667392">
        <w:t xml:space="preserve">Timing relationships for NB-IoT / </w:t>
      </w:r>
      <w:r>
        <w:t>eMTC: as listed in Section 6.6</w:t>
      </w:r>
      <w:r w:rsidRPr="00667392">
        <w:t>.3 in TR 36.763</w:t>
      </w:r>
      <w:r>
        <w:t xml:space="preserve"> </w:t>
      </w:r>
    </w:p>
    <w:p w14:paraId="69C16F6F" w14:textId="77777777" w:rsidR="00E26E6A" w:rsidRDefault="00E26E6A" w:rsidP="00E26E6A">
      <w:pPr>
        <w:pStyle w:val="B1"/>
      </w:pPr>
      <w:r>
        <w:t>-</w:t>
      </w:r>
      <w:r>
        <w:tab/>
      </w:r>
      <w:r w:rsidRPr="00667392">
        <w:t>UL scheduling for FDD-HD: Use of UE-specific TA and/or K_offset to avoid UL-DL collisions in FDD-HD</w:t>
      </w:r>
    </w:p>
    <w:p w14:paraId="3CDCD36F" w14:textId="77777777" w:rsidR="00E26E6A" w:rsidRDefault="00E26E6A" w:rsidP="00E26E6A">
      <w:pPr>
        <w:pStyle w:val="B1"/>
      </w:pPr>
      <w:r>
        <w:t>-</w:t>
      </w:r>
      <w:r>
        <w:tab/>
      </w:r>
      <w:r w:rsidRPr="00E22FE0">
        <w:t>Signalling aspects in UE-specific TA maintenance and reporting, techniques to reduce the signalling load and determination of the UE-specific TA.</w:t>
      </w:r>
    </w:p>
    <w:p w14:paraId="7EA8288E" w14:textId="7E529EC0" w:rsidR="00E26E6A" w:rsidRDefault="00E26E6A" w:rsidP="00E26E6A">
      <w:pPr>
        <w:pStyle w:val="B1"/>
        <w:ind w:left="0" w:firstLine="0"/>
      </w:pPr>
      <w:r>
        <w:t>In this contribution, we provide our views on timing relationship enhancements.</w:t>
      </w:r>
    </w:p>
    <w:p w14:paraId="3BC6E552" w14:textId="0A136CDB" w:rsidR="00D90D15" w:rsidRPr="00064278" w:rsidRDefault="006813FA" w:rsidP="00D90D15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lastRenderedPageBreak/>
        <w:t>Reporting of UE-specific TA to the network</w:t>
      </w:r>
    </w:p>
    <w:p w14:paraId="42A129A1" w14:textId="7AE260D0" w:rsidR="00D90D15" w:rsidRDefault="009C1283" w:rsidP="00E26E6A">
      <w:pPr>
        <w:pStyle w:val="B1"/>
        <w:ind w:left="0" w:firstLine="0"/>
      </w:pPr>
      <w:r>
        <w:t xml:space="preserve">To handle UL/DL collisions </w:t>
      </w:r>
      <w:r w:rsidR="00B96062">
        <w:t xml:space="preserve">for half-duplex UEs, it is essential that the UE-specific TA (which the UE determines autonomously) be made known to the </w:t>
      </w:r>
      <w:r w:rsidR="003C2830">
        <w:t>network and</w:t>
      </w:r>
      <w:r w:rsidR="00EE564D">
        <w:t xml:space="preserve"> updated </w:t>
      </w:r>
      <w:r w:rsidR="00087D07">
        <w:t xml:space="preserve">subsequently </w:t>
      </w:r>
      <w:r w:rsidR="00EE564D">
        <w:t>if th</w:t>
      </w:r>
      <w:r w:rsidR="00087D07">
        <w:t>e value</w:t>
      </w:r>
      <w:r w:rsidR="00EE564D">
        <w:t xml:space="preserve"> changes significantly</w:t>
      </w:r>
      <w:r w:rsidR="00087D07">
        <w:t xml:space="preserve">. This is </w:t>
      </w:r>
      <w:r w:rsidR="008539A0">
        <w:t>important since</w:t>
      </w:r>
      <w:r w:rsidR="00087D07">
        <w:t xml:space="preserve"> any UE-specific K_offset that the network may configure a UE with</w:t>
      </w:r>
      <w:r w:rsidR="008639B9">
        <w:t>,</w:t>
      </w:r>
      <w:r w:rsidR="00087D07">
        <w:t xml:space="preserve"> </w:t>
      </w:r>
      <w:r w:rsidR="008539A0">
        <w:t>depends on accurate knowledge of the UE-specific TA.</w:t>
      </w:r>
    </w:p>
    <w:p w14:paraId="6CBDA936" w14:textId="33028F05" w:rsidR="008539A0" w:rsidRPr="00296171" w:rsidRDefault="008539A0" w:rsidP="00E26E6A">
      <w:pPr>
        <w:pStyle w:val="B1"/>
        <w:ind w:left="0" w:firstLine="0"/>
        <w:rPr>
          <w:b/>
          <w:bCs/>
        </w:rPr>
      </w:pPr>
      <w:r w:rsidRPr="00296171">
        <w:rPr>
          <w:b/>
          <w:bCs/>
          <w:i/>
          <w:iCs/>
          <w:u w:val="single"/>
        </w:rPr>
        <w:t>Observation</w:t>
      </w:r>
      <w:r w:rsidR="00F11B37">
        <w:rPr>
          <w:b/>
          <w:bCs/>
          <w:i/>
          <w:iCs/>
          <w:u w:val="single"/>
        </w:rPr>
        <w:t xml:space="preserve"> 1</w:t>
      </w:r>
      <w:r w:rsidRPr="00296171">
        <w:rPr>
          <w:b/>
          <w:bCs/>
        </w:rPr>
        <w:t xml:space="preserve">: </w:t>
      </w:r>
      <w:r w:rsidR="00FD7CBB" w:rsidRPr="00296171">
        <w:rPr>
          <w:b/>
          <w:bCs/>
        </w:rPr>
        <w:t>UE-specific K_offset is derived based on the UE-specific TA.</w:t>
      </w:r>
      <w:r w:rsidR="00FA0994" w:rsidRPr="00296171">
        <w:rPr>
          <w:b/>
          <w:bCs/>
        </w:rPr>
        <w:t xml:space="preserve"> As a result, the UE-specific TA is the fundamental </w:t>
      </w:r>
      <w:r w:rsidR="00F50996" w:rsidRPr="00296171">
        <w:rPr>
          <w:b/>
          <w:bCs/>
        </w:rPr>
        <w:t>quantity that needs to be reported (and updated) by the UE to the network, for the network to ensure causal</w:t>
      </w:r>
      <w:r w:rsidR="00296171" w:rsidRPr="00296171">
        <w:rPr>
          <w:b/>
          <w:bCs/>
        </w:rPr>
        <w:t xml:space="preserve"> and collision-free scheduling of UL/DL communications for half-duplex UEs.</w:t>
      </w:r>
      <w:r w:rsidR="00FD7CBB" w:rsidRPr="00296171">
        <w:rPr>
          <w:b/>
          <w:bCs/>
        </w:rPr>
        <w:t xml:space="preserve"> </w:t>
      </w:r>
    </w:p>
    <w:p w14:paraId="2ED7C824" w14:textId="0599EF1E" w:rsidR="00647D8A" w:rsidRDefault="00340BCE" w:rsidP="00CD471E">
      <w:pPr>
        <w:rPr>
          <w:lang w:val="en-US"/>
        </w:rPr>
      </w:pPr>
      <w:r w:rsidRPr="00B30767">
        <w:rPr>
          <w:lang w:val="en-US"/>
        </w:rPr>
        <w:t xml:space="preserve">Having established the need for UE-specific </w:t>
      </w:r>
      <w:r w:rsidR="00B3722A" w:rsidRPr="00B30767">
        <w:rPr>
          <w:lang w:val="en-US"/>
        </w:rPr>
        <w:t xml:space="preserve">TA reporting by the UE, we </w:t>
      </w:r>
      <w:r w:rsidR="00D434AA" w:rsidRPr="00B30767">
        <w:rPr>
          <w:lang w:val="en-US"/>
        </w:rPr>
        <w:t>must</w:t>
      </w:r>
      <w:r w:rsidR="00B3722A" w:rsidRPr="00B30767">
        <w:rPr>
          <w:lang w:val="en-US"/>
        </w:rPr>
        <w:t xml:space="preserve"> specify the mechanism by which such reporting shall occur. </w:t>
      </w:r>
      <w:r w:rsidR="00D434AA" w:rsidRPr="00B30767">
        <w:rPr>
          <w:lang w:val="en-US"/>
        </w:rPr>
        <w:t>These</w:t>
      </w:r>
      <w:r w:rsidR="005A65BE" w:rsidRPr="00B30767">
        <w:rPr>
          <w:lang w:val="en-US"/>
        </w:rPr>
        <w:t xml:space="preserve"> comprise aspects such as</w:t>
      </w:r>
      <w:r w:rsidR="004A488A" w:rsidRPr="00B30767">
        <w:rPr>
          <w:lang w:val="en-US"/>
        </w:rPr>
        <w:t xml:space="preserve"> what the triggering conditions for </w:t>
      </w:r>
      <w:r w:rsidR="00AF1253" w:rsidRPr="00B30767">
        <w:rPr>
          <w:lang w:val="en-US"/>
        </w:rPr>
        <w:t>the reporting</w:t>
      </w:r>
      <w:r w:rsidR="006E7B65">
        <w:rPr>
          <w:lang w:val="en-US"/>
        </w:rPr>
        <w:t xml:space="preserve"> </w:t>
      </w:r>
      <w:r w:rsidR="00FB5638">
        <w:rPr>
          <w:lang w:val="en-US"/>
        </w:rPr>
        <w:t>are</w:t>
      </w:r>
      <w:r w:rsidR="00F1098D">
        <w:rPr>
          <w:lang w:val="en-US"/>
        </w:rPr>
        <w:t xml:space="preserve">, and </w:t>
      </w:r>
      <w:r w:rsidR="00F1098D" w:rsidRPr="00B30767">
        <w:rPr>
          <w:lang w:val="en-US"/>
        </w:rPr>
        <w:t>how (e.g., in which messages) such a report is sent</w:t>
      </w:r>
      <w:r w:rsidR="001D0759" w:rsidRPr="00B30767">
        <w:rPr>
          <w:lang w:val="en-US"/>
        </w:rPr>
        <w:t>.</w:t>
      </w:r>
    </w:p>
    <w:p w14:paraId="49AF8330" w14:textId="5731A7C1" w:rsidR="001172E8" w:rsidRDefault="00C07A6B" w:rsidP="00CD471E">
      <w:pPr>
        <w:rPr>
          <w:lang w:val="en-US"/>
        </w:rPr>
      </w:pPr>
      <w:r w:rsidRPr="00B30767">
        <w:rPr>
          <w:lang w:val="en-US"/>
        </w:rPr>
        <w:t xml:space="preserve">In terms of triggering conditions, a natural </w:t>
      </w:r>
      <w:r w:rsidR="00063D75" w:rsidRPr="00B30767">
        <w:rPr>
          <w:lang w:val="en-US"/>
        </w:rPr>
        <w:t>option is for the UE to report a new value of UE-specific TA when it determines that the last reported value differs from the current value by a certain threshold</w:t>
      </w:r>
      <w:r w:rsidR="0085676B" w:rsidRPr="00B30767">
        <w:rPr>
          <w:lang w:val="en-US"/>
        </w:rPr>
        <w:t xml:space="preserve">. This mechanism ensures that the </w:t>
      </w:r>
      <w:r w:rsidR="00422609" w:rsidRPr="00B30767">
        <w:rPr>
          <w:lang w:val="en-US"/>
        </w:rPr>
        <w:t>TA is tracked accurately by the base-station</w:t>
      </w:r>
      <w:r w:rsidR="00B34CFC" w:rsidRPr="00B30767">
        <w:rPr>
          <w:lang w:val="en-US"/>
        </w:rPr>
        <w:t xml:space="preserve">, in an on-demand basis. The network can use this value to update the </w:t>
      </w:r>
      <w:r w:rsidR="00036B14" w:rsidRPr="00B30767">
        <w:rPr>
          <w:lang w:val="en-US"/>
        </w:rPr>
        <w:t xml:space="preserve">UE-specific </w:t>
      </w:r>
      <w:r w:rsidR="00B34CFC" w:rsidRPr="00B30767">
        <w:rPr>
          <w:lang w:val="en-US"/>
        </w:rPr>
        <w:t>K_offset</w:t>
      </w:r>
      <w:r w:rsidR="00036B14" w:rsidRPr="00B30767">
        <w:rPr>
          <w:lang w:val="en-US"/>
        </w:rPr>
        <w:t xml:space="preserve"> to maintain causality </w:t>
      </w:r>
      <w:r w:rsidR="001172E8" w:rsidRPr="00B30767">
        <w:rPr>
          <w:lang w:val="en-US"/>
        </w:rPr>
        <w:t>and</w:t>
      </w:r>
      <w:r w:rsidR="00036B14" w:rsidRPr="00B30767">
        <w:rPr>
          <w:lang w:val="en-US"/>
        </w:rPr>
        <w:t xml:space="preserve"> </w:t>
      </w:r>
      <w:r w:rsidR="001172E8" w:rsidRPr="00B30767">
        <w:rPr>
          <w:lang w:val="en-US"/>
        </w:rPr>
        <w:t>avoid collisions in half-duplex scheduling.</w:t>
      </w:r>
    </w:p>
    <w:p w14:paraId="43045E41" w14:textId="1142EA2B" w:rsidR="00C07A6B" w:rsidRDefault="001172E8" w:rsidP="00CD471E">
      <w:pPr>
        <w:rPr>
          <w:b/>
          <w:bCs/>
          <w:lang w:val="en-US"/>
        </w:rPr>
      </w:pPr>
      <w:r w:rsidRPr="00B30767">
        <w:rPr>
          <w:b/>
          <w:bCs/>
          <w:i/>
          <w:iCs/>
          <w:u w:val="single"/>
          <w:lang w:val="en-US"/>
        </w:rPr>
        <w:t>Proposal</w:t>
      </w:r>
      <w:r w:rsidR="00F11B37">
        <w:rPr>
          <w:b/>
          <w:bCs/>
          <w:i/>
          <w:iCs/>
          <w:u w:val="single"/>
          <w:lang w:val="en-US"/>
        </w:rPr>
        <w:t xml:space="preserve"> 1</w:t>
      </w:r>
      <w:r>
        <w:rPr>
          <w:b/>
          <w:bCs/>
          <w:lang w:val="en-US"/>
        </w:rPr>
        <w:t xml:space="preserve">: </w:t>
      </w:r>
      <w:r w:rsidR="00FB59C6">
        <w:rPr>
          <w:b/>
          <w:bCs/>
          <w:lang w:val="en-US"/>
        </w:rPr>
        <w:t>A</w:t>
      </w:r>
      <w:r>
        <w:rPr>
          <w:b/>
          <w:bCs/>
          <w:lang w:val="en-US"/>
        </w:rPr>
        <w:t xml:space="preserve"> UE reports the UE-specific TA to the network when the </w:t>
      </w:r>
      <w:r w:rsidR="00810FE0">
        <w:rPr>
          <w:b/>
          <w:bCs/>
          <w:lang w:val="en-US"/>
        </w:rPr>
        <w:t xml:space="preserve">previously reported value differs from a current value by a </w:t>
      </w:r>
      <w:r w:rsidR="00B30767">
        <w:rPr>
          <w:b/>
          <w:bCs/>
          <w:lang w:val="en-US"/>
        </w:rPr>
        <w:t>pre-determined threshold.</w:t>
      </w:r>
      <w:r w:rsidR="00422609">
        <w:rPr>
          <w:b/>
          <w:bCs/>
          <w:lang w:val="en-US"/>
        </w:rPr>
        <w:t xml:space="preserve"> </w:t>
      </w:r>
    </w:p>
    <w:p w14:paraId="02A7AC9D" w14:textId="766F69E8" w:rsidR="00F1098D" w:rsidRDefault="00F1098D" w:rsidP="00F1098D">
      <w:pPr>
        <w:rPr>
          <w:lang w:val="en-US"/>
        </w:rPr>
      </w:pPr>
      <w:r>
        <w:rPr>
          <w:lang w:val="en-US"/>
        </w:rPr>
        <w:t xml:space="preserve">In terms of reporting the TA, a solution that is attractive </w:t>
      </w:r>
      <w:r w:rsidR="00D26187">
        <w:rPr>
          <w:lang w:val="en-US"/>
        </w:rPr>
        <w:t>for</w:t>
      </w:r>
      <w:r>
        <w:rPr>
          <w:lang w:val="en-US"/>
        </w:rPr>
        <w:t xml:space="preserve"> NTN (since it avoids round-trip delays in case an uplink resource is to be requested) is to use an uplink semi-persistent scheduling (SPS) message (</w:t>
      </w:r>
      <w:r w:rsidR="00D26187">
        <w:rPr>
          <w:lang w:val="en-US"/>
        </w:rPr>
        <w:t>such as the one</w:t>
      </w:r>
      <w:r>
        <w:rPr>
          <w:lang w:val="en-US"/>
        </w:rPr>
        <w:t xml:space="preserve"> specified for NB-IoT </w:t>
      </w:r>
      <w:r w:rsidR="00D26187">
        <w:rPr>
          <w:lang w:val="en-US"/>
        </w:rPr>
        <w:t>to</w:t>
      </w:r>
      <w:r>
        <w:rPr>
          <w:lang w:val="en-US"/>
        </w:rPr>
        <w:t xml:space="preserve"> transmit a buffer status report (BSR)) on which the UE can transmit this TA report when required.</w:t>
      </w:r>
    </w:p>
    <w:p w14:paraId="61CBC9FC" w14:textId="552D4077" w:rsidR="00F1098D" w:rsidRDefault="00F1098D" w:rsidP="00CD471E">
      <w:pPr>
        <w:rPr>
          <w:b/>
          <w:bCs/>
          <w:lang w:val="en-US"/>
        </w:rPr>
      </w:pPr>
      <w:r w:rsidRPr="008319A5">
        <w:rPr>
          <w:b/>
          <w:bCs/>
          <w:i/>
          <w:iCs/>
          <w:u w:val="single"/>
          <w:lang w:val="en-US"/>
        </w:rPr>
        <w:t>Proposal</w:t>
      </w:r>
      <w:r w:rsidR="00F11B37">
        <w:rPr>
          <w:b/>
          <w:bCs/>
          <w:i/>
          <w:iCs/>
          <w:u w:val="single"/>
          <w:lang w:val="en-US"/>
        </w:rPr>
        <w:t xml:space="preserve"> 2</w:t>
      </w:r>
      <w:r>
        <w:rPr>
          <w:b/>
          <w:bCs/>
          <w:lang w:val="en-US"/>
        </w:rPr>
        <w:t xml:space="preserve">: </w:t>
      </w:r>
      <w:r w:rsidR="008C724C">
        <w:rPr>
          <w:b/>
          <w:bCs/>
          <w:lang w:val="en-US"/>
        </w:rPr>
        <w:t xml:space="preserve">The UE-specific TA is reported in an uplink semi-persistent scheduling (UL-SPS) </w:t>
      </w:r>
      <w:r w:rsidR="00F10A93">
        <w:rPr>
          <w:b/>
          <w:bCs/>
          <w:lang w:val="en-US"/>
        </w:rPr>
        <w:t>message</w:t>
      </w:r>
      <w:r w:rsidR="008C724C">
        <w:rPr>
          <w:b/>
          <w:bCs/>
          <w:lang w:val="en-US"/>
        </w:rPr>
        <w:t xml:space="preserve">, such as the one used for reporting buffer status reports (BSRs) in </w:t>
      </w:r>
      <w:r w:rsidR="008319A5">
        <w:rPr>
          <w:b/>
          <w:bCs/>
          <w:lang w:val="en-US"/>
        </w:rPr>
        <w:t>NB-IoT.</w:t>
      </w:r>
    </w:p>
    <w:p w14:paraId="00C43E69" w14:textId="1CD2438C" w:rsidR="00647D8A" w:rsidRPr="00064278" w:rsidRDefault="00647D8A" w:rsidP="00290620">
      <w:pPr>
        <w:pStyle w:val="Heading1"/>
        <w:numPr>
          <w:ilvl w:val="0"/>
          <w:numId w:val="1"/>
        </w:numPr>
        <w:tabs>
          <w:tab w:val="clear" w:pos="1140"/>
        </w:tabs>
        <w:jc w:val="both"/>
        <w:rPr>
          <w:b/>
          <w:bCs/>
          <w:lang w:val="en-US"/>
        </w:rPr>
      </w:pPr>
      <w:r>
        <w:t>Definition of interrupted downlink subframes</w:t>
      </w:r>
    </w:p>
    <w:p w14:paraId="4AD96D2D" w14:textId="3FC65737" w:rsidR="00FF2302" w:rsidRDefault="00EA7263" w:rsidP="00FF2302">
      <w:pPr>
        <w:rPr>
          <w:lang w:val="en-US"/>
        </w:rPr>
      </w:pPr>
      <w:r>
        <w:rPr>
          <w:lang w:val="en-US"/>
        </w:rPr>
        <w:t>D</w:t>
      </w:r>
      <w:r w:rsidR="00B67771" w:rsidRPr="00B67771">
        <w:rPr>
          <w:lang w:val="en-US"/>
        </w:rPr>
        <w:t>ue to large, UE-specific TAs, DL subframes interrupted due to an UL transmission are UE-specific</w:t>
      </w:r>
      <w:r w:rsidR="00B67771">
        <w:rPr>
          <w:lang w:val="en-US"/>
        </w:rPr>
        <w:t xml:space="preserve">. </w:t>
      </w:r>
      <w:r w:rsidR="00B67771" w:rsidRPr="00B67771">
        <w:rPr>
          <w:lang w:val="en-US"/>
        </w:rPr>
        <w:t>Current specs assume a small TA</w:t>
      </w:r>
      <w:r w:rsidR="003B0F05">
        <w:rPr>
          <w:lang w:val="en-US"/>
        </w:rPr>
        <w:t xml:space="preserve"> (e.g., up to 1 ms)</w:t>
      </w:r>
      <w:r w:rsidR="00B67771" w:rsidRPr="00B67771">
        <w:rPr>
          <w:lang w:val="en-US"/>
        </w:rPr>
        <w:t>, and do not incorporate a “TA term” in defining these subframes</w:t>
      </w:r>
      <w:r w:rsidR="00FF51D2">
        <w:rPr>
          <w:lang w:val="en-US"/>
        </w:rPr>
        <w:t xml:space="preserve">. </w:t>
      </w:r>
      <w:r w:rsidR="00F321D7">
        <w:rPr>
          <w:lang w:val="en-US"/>
        </w:rPr>
        <w:t>However, as illustrated in Fig</w:t>
      </w:r>
      <w:r w:rsidR="00930937">
        <w:rPr>
          <w:lang w:val="en-US"/>
        </w:rPr>
        <w:t>.</w:t>
      </w:r>
      <w:r w:rsidR="00F321D7">
        <w:rPr>
          <w:lang w:val="en-US"/>
        </w:rPr>
        <w:t xml:space="preserve"> </w:t>
      </w:r>
      <w:r w:rsidR="00F43A50">
        <w:rPr>
          <w:lang w:val="en-US"/>
        </w:rPr>
        <w:t>1</w:t>
      </w:r>
      <w:r w:rsidR="00F321D7">
        <w:rPr>
          <w:lang w:val="en-US"/>
        </w:rPr>
        <w:t xml:space="preserve">, for NTN, </w:t>
      </w:r>
      <w:r w:rsidR="00B4627F">
        <w:rPr>
          <w:lang w:val="en-US"/>
        </w:rPr>
        <w:t xml:space="preserve">the interrupted subframes need to be defined using a term that captures the impact of this very large TA. </w:t>
      </w:r>
      <w:r w:rsidR="00FF2302">
        <w:rPr>
          <w:lang w:val="en-US"/>
        </w:rPr>
        <w:t>In the figure, w</w:t>
      </w:r>
      <w:r w:rsidR="00FF2302" w:rsidRPr="00FF2302">
        <w:rPr>
          <w:lang w:val="en-US"/>
        </w:rPr>
        <w:t xml:space="preserve">e want X_DL to Y_DL to be the interrupted DL SFs—i.e., the </w:t>
      </w:r>
      <w:r w:rsidR="00FF2302">
        <w:rPr>
          <w:lang w:val="en-US"/>
        </w:rPr>
        <w:t>subframes</w:t>
      </w:r>
      <w:r w:rsidR="00FF2302" w:rsidRPr="00FF2302">
        <w:rPr>
          <w:lang w:val="en-US"/>
        </w:rPr>
        <w:t xml:space="preserve"> where the UE is not required to monitor another PDCCH, since it must get ready to transmit the PUSCH starting at Y_UL.</w:t>
      </w:r>
      <w:r w:rsidR="00745BCD">
        <w:rPr>
          <w:lang w:val="en-US"/>
        </w:rPr>
        <w:t xml:space="preserve"> </w:t>
      </w:r>
      <w:r w:rsidR="00FF2302" w:rsidRPr="00FF2302">
        <w:rPr>
          <w:lang w:val="en-US"/>
        </w:rPr>
        <w:t>Without the “-TA” term for Y_DL, the interrupted SFs would be from X_DL +TA to Y_DL +TA, while it would (problematically) be expected to monitor PDCCH from X_DL to Y_DL!</w:t>
      </w:r>
    </w:p>
    <w:p w14:paraId="03959D08" w14:textId="77777777" w:rsidR="00E4711B" w:rsidRDefault="00E4711B" w:rsidP="00E4711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2E563D7" wp14:editId="0152D6D1">
            <wp:extent cx="4507414" cy="2706277"/>
            <wp:effectExtent l="0" t="0" r="7620" b="0"/>
            <wp:docPr id="26" name="Picture 26" descr="A screen shot of a smart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lf_Duplex_interrupted_SF_definitio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618" cy="271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E95DD" w14:textId="5D18AA03" w:rsidR="00745BCD" w:rsidRDefault="00E4711B" w:rsidP="00E4711B">
      <w:pPr>
        <w:pStyle w:val="Caption"/>
        <w:jc w:val="center"/>
      </w:pPr>
      <w:r>
        <w:t xml:space="preserve">Figure </w:t>
      </w:r>
      <w:r w:rsidR="002D6DA9">
        <w:t>1</w:t>
      </w:r>
      <w:r>
        <w:t>: Definition of DL interrupted subframes in the presence of large NTN-specific TAs.</w:t>
      </w:r>
    </w:p>
    <w:p w14:paraId="4556162E" w14:textId="4CC74EC4" w:rsidR="00AD7F52" w:rsidRDefault="00B67771" w:rsidP="00B67771">
      <w:pPr>
        <w:rPr>
          <w:lang w:val="en-US"/>
        </w:rPr>
      </w:pPr>
      <w:r w:rsidRPr="00B67771">
        <w:rPr>
          <w:lang w:val="en-US"/>
        </w:rPr>
        <w:lastRenderedPageBreak/>
        <w:t xml:space="preserve">Examples </w:t>
      </w:r>
      <w:r w:rsidR="00FF51D2">
        <w:rPr>
          <w:lang w:val="en-US"/>
        </w:rPr>
        <w:t>(for NB-IoT)</w:t>
      </w:r>
      <w:r w:rsidR="00FF2302">
        <w:rPr>
          <w:lang w:val="en-US"/>
        </w:rPr>
        <w:t xml:space="preserve"> where this needs to be reflected</w:t>
      </w:r>
      <w:r w:rsidR="00FF51D2">
        <w:rPr>
          <w:lang w:val="en-US"/>
        </w:rPr>
        <w:t xml:space="preserve"> </w:t>
      </w:r>
      <w:r w:rsidRPr="00B67771">
        <w:rPr>
          <w:lang w:val="en-US"/>
        </w:rPr>
        <w:t>include DL subframes before and after a NPUSCH or NPRACH transmission, DL subframes corresponding to half-duplex guard periods, etc.</w:t>
      </w:r>
    </w:p>
    <w:p w14:paraId="08B5699C" w14:textId="0DD0A1E0" w:rsidR="00647D8A" w:rsidRDefault="0089235F" w:rsidP="00B67771">
      <w:pPr>
        <w:rPr>
          <w:b/>
          <w:bCs/>
          <w:lang w:val="en-US"/>
        </w:rPr>
      </w:pPr>
      <w:r w:rsidRPr="005E6C8C">
        <w:rPr>
          <w:b/>
          <w:bCs/>
          <w:i/>
          <w:iCs/>
          <w:u w:val="single"/>
          <w:lang w:val="en-US"/>
        </w:rPr>
        <w:t>Proposal</w:t>
      </w:r>
      <w:r w:rsidR="00F11B37">
        <w:rPr>
          <w:b/>
          <w:bCs/>
          <w:i/>
          <w:iCs/>
          <w:u w:val="single"/>
          <w:lang w:val="en-US"/>
        </w:rPr>
        <w:t xml:space="preserve"> 3</w:t>
      </w:r>
      <w:r w:rsidRPr="005E6C8C">
        <w:rPr>
          <w:b/>
          <w:bCs/>
          <w:lang w:val="en-US"/>
        </w:rPr>
        <w:t xml:space="preserve">: </w:t>
      </w:r>
      <w:r w:rsidR="0014302F" w:rsidRPr="005E6C8C">
        <w:rPr>
          <w:b/>
          <w:bCs/>
          <w:lang w:val="en-US"/>
        </w:rPr>
        <w:t>The</w:t>
      </w:r>
      <w:r w:rsidR="00C65431" w:rsidRPr="005E6C8C">
        <w:rPr>
          <w:b/>
          <w:bCs/>
          <w:lang w:val="en-US"/>
        </w:rPr>
        <w:t xml:space="preserve"> definition of downlink interrupted subframes (e.g., those before and after a PUSCH, PRACH</w:t>
      </w:r>
      <w:r w:rsidR="00D24C0A" w:rsidRPr="005E6C8C">
        <w:rPr>
          <w:b/>
          <w:bCs/>
          <w:lang w:val="en-US"/>
        </w:rPr>
        <w:t xml:space="preserve">, </w:t>
      </w:r>
      <w:r w:rsidR="001C3BBA" w:rsidRPr="005E6C8C">
        <w:rPr>
          <w:b/>
          <w:bCs/>
          <w:lang w:val="en-US"/>
        </w:rPr>
        <w:t xml:space="preserve">PUCCH, </w:t>
      </w:r>
      <w:r w:rsidR="00D24C0A" w:rsidRPr="005E6C8C">
        <w:rPr>
          <w:b/>
          <w:bCs/>
          <w:lang w:val="en-US"/>
        </w:rPr>
        <w:t>and half-duplex guard periods</w:t>
      </w:r>
      <w:r w:rsidR="00C65431" w:rsidRPr="005E6C8C">
        <w:rPr>
          <w:b/>
          <w:bCs/>
          <w:lang w:val="en-US"/>
        </w:rPr>
        <w:t>)</w:t>
      </w:r>
      <w:r w:rsidR="00DB26F6" w:rsidRPr="005E6C8C">
        <w:rPr>
          <w:b/>
          <w:bCs/>
          <w:lang w:val="en-US"/>
        </w:rPr>
        <w:t>,</w:t>
      </w:r>
      <w:r w:rsidR="00D24C0A" w:rsidRPr="005E6C8C">
        <w:rPr>
          <w:b/>
          <w:bCs/>
          <w:lang w:val="en-US"/>
        </w:rPr>
        <w:t xml:space="preserve"> where a half-duplex UE is not expected to monitor PDCCH, </w:t>
      </w:r>
      <w:r w:rsidR="002A5D6B" w:rsidRPr="005E6C8C">
        <w:rPr>
          <w:b/>
          <w:bCs/>
          <w:lang w:val="en-US"/>
        </w:rPr>
        <w:t xml:space="preserve">is modified, </w:t>
      </w:r>
      <w:r w:rsidR="00D03AD4" w:rsidRPr="005E6C8C">
        <w:rPr>
          <w:b/>
          <w:bCs/>
          <w:lang w:val="en-US"/>
        </w:rPr>
        <w:t>in accordance with</w:t>
      </w:r>
      <w:r w:rsidR="00F0352C" w:rsidRPr="005E6C8C">
        <w:rPr>
          <w:b/>
          <w:bCs/>
          <w:lang w:val="en-US"/>
        </w:rPr>
        <w:t xml:space="preserve"> the</w:t>
      </w:r>
      <w:r w:rsidR="00D24C0A" w:rsidRPr="005E6C8C">
        <w:rPr>
          <w:b/>
          <w:bCs/>
          <w:lang w:val="en-US"/>
        </w:rPr>
        <w:t xml:space="preserve"> </w:t>
      </w:r>
      <w:r w:rsidR="008E469A" w:rsidRPr="005E6C8C">
        <w:rPr>
          <w:b/>
          <w:bCs/>
          <w:lang w:val="en-US"/>
        </w:rPr>
        <w:t xml:space="preserve">large </w:t>
      </w:r>
      <w:r w:rsidR="00436D42" w:rsidRPr="005E6C8C">
        <w:rPr>
          <w:b/>
          <w:bCs/>
          <w:lang w:val="en-US"/>
        </w:rPr>
        <w:t xml:space="preserve">UE-specific </w:t>
      </w:r>
      <w:r w:rsidR="008E469A" w:rsidRPr="005E6C8C">
        <w:rPr>
          <w:b/>
          <w:bCs/>
          <w:lang w:val="en-US"/>
        </w:rPr>
        <w:t>TAs in NTN.</w:t>
      </w:r>
    </w:p>
    <w:p w14:paraId="21734273" w14:textId="41AE1741" w:rsidR="009C1D18" w:rsidRDefault="009C1D18" w:rsidP="009C1D1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Need for UE-specific K_offset</w:t>
      </w:r>
    </w:p>
    <w:p w14:paraId="4EBEDF6C" w14:textId="3D09F993" w:rsidR="009C1D18" w:rsidRDefault="00E3117A" w:rsidP="009C1D18">
      <w:r>
        <w:t>There has been some discussion as to whether a UE-specific K_offset is essential for IoT-NTN. In our view, it is indeed essential, since without a UE-specific K_offset</w:t>
      </w:r>
      <w:r w:rsidR="00EB76BB">
        <w:t xml:space="preserve">, the throughput will suffer significantly when the </w:t>
      </w:r>
      <w:r w:rsidR="0007530E">
        <w:t>differential delay between the UEs</w:t>
      </w:r>
      <w:r w:rsidR="001C7BC2">
        <w:t xml:space="preserve"> </w:t>
      </w:r>
      <w:r w:rsidR="00F11B37">
        <w:t xml:space="preserve">in an NTN cell </w:t>
      </w:r>
      <w:r w:rsidR="001C7BC2">
        <w:t>is</w:t>
      </w:r>
      <w:r w:rsidR="009F4BFB">
        <w:t xml:space="preserve"> high—such as in GEO-based deployments</w:t>
      </w:r>
      <w:r w:rsidR="001C7BC2">
        <w:t xml:space="preserve">—since the cell-specific K_offset has to cater to the </w:t>
      </w:r>
      <w:r w:rsidR="00403D87">
        <w:t>worst-case, i.e., ensure that the UE with the maximum round-trip delay can be scheduled causally</w:t>
      </w:r>
      <w:r w:rsidR="009F4BFB">
        <w:t>.</w:t>
      </w:r>
    </w:p>
    <w:p w14:paraId="4A63335D" w14:textId="5943A868" w:rsidR="009C1D18" w:rsidRPr="00BE1144" w:rsidRDefault="009F4BFB" w:rsidP="00B67771">
      <w:pPr>
        <w:rPr>
          <w:b/>
          <w:bCs/>
          <w:lang w:val="en-US"/>
        </w:rPr>
      </w:pPr>
      <w:r w:rsidRPr="00BE1144">
        <w:rPr>
          <w:b/>
          <w:bCs/>
          <w:i/>
          <w:iCs/>
          <w:u w:val="single"/>
        </w:rPr>
        <w:t>Proposal</w:t>
      </w:r>
      <w:r w:rsidR="00F11B37">
        <w:rPr>
          <w:b/>
          <w:bCs/>
          <w:i/>
          <w:iCs/>
          <w:u w:val="single"/>
        </w:rPr>
        <w:t xml:space="preserve"> 4</w:t>
      </w:r>
      <w:r w:rsidRPr="00BE1144">
        <w:rPr>
          <w:b/>
          <w:bCs/>
        </w:rPr>
        <w:t xml:space="preserve">: </w:t>
      </w:r>
      <w:r w:rsidR="00BE1144" w:rsidRPr="00BE1144">
        <w:rPr>
          <w:b/>
          <w:bCs/>
        </w:rPr>
        <w:t>Specifiy UE-specific K_offset(s) for IoT-NTN.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639A6561" w:rsidR="009D5294" w:rsidRDefault="000236C6" w:rsidP="006C1D96">
      <w:r w:rsidRPr="000236C6">
        <w:t xml:space="preserve">In this contribution we presented our views on </w:t>
      </w:r>
      <w:r w:rsidR="00FD4AD2">
        <w:t>enhancements for</w:t>
      </w:r>
      <w:r w:rsidR="001B1620">
        <w:t xml:space="preserve"> NB-IoT/eMTC over NTN</w:t>
      </w:r>
      <w:r w:rsidR="000E792E" w:rsidRPr="000E792E">
        <w:t xml:space="preserve"> </w:t>
      </w:r>
      <w:r w:rsidR="000E792E">
        <w:t>as it relates to timing relationship enhancements</w:t>
      </w:r>
      <w:r w:rsidRPr="000236C6">
        <w:t xml:space="preserve">. </w:t>
      </w:r>
      <w:r w:rsidR="00BC3A60">
        <w:t>We summarize our proposals below.</w:t>
      </w:r>
    </w:p>
    <w:p w14:paraId="0F331E9C" w14:textId="77777777" w:rsidR="00F11B37" w:rsidRPr="00296171" w:rsidRDefault="00F11B37" w:rsidP="00F11B37">
      <w:pPr>
        <w:pStyle w:val="B1"/>
        <w:ind w:left="0" w:firstLine="0"/>
        <w:rPr>
          <w:b/>
          <w:bCs/>
        </w:rPr>
      </w:pPr>
      <w:r w:rsidRPr="00296171">
        <w:rPr>
          <w:b/>
          <w:bCs/>
          <w:i/>
          <w:iCs/>
          <w:u w:val="single"/>
        </w:rPr>
        <w:t>Observation</w:t>
      </w:r>
      <w:r>
        <w:rPr>
          <w:b/>
          <w:bCs/>
          <w:i/>
          <w:iCs/>
          <w:u w:val="single"/>
        </w:rPr>
        <w:t xml:space="preserve"> 1</w:t>
      </w:r>
      <w:r w:rsidRPr="00296171">
        <w:rPr>
          <w:b/>
          <w:bCs/>
        </w:rPr>
        <w:t xml:space="preserve">: UE-specific K_offset is derived based on the UE-specific TA. As a result, the UE-specific TA is the fundamental quantity that needs to be reported (and updated) by the UE to the network, for the network to ensure causal and collision-free scheduling of UL/DL communications for half-duplex UEs. </w:t>
      </w:r>
    </w:p>
    <w:p w14:paraId="3729F594" w14:textId="77777777" w:rsidR="00F11B37" w:rsidRDefault="00F11B37" w:rsidP="00F11B37">
      <w:pPr>
        <w:rPr>
          <w:b/>
          <w:bCs/>
          <w:lang w:val="en-US"/>
        </w:rPr>
      </w:pPr>
      <w:r w:rsidRPr="00B30767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1</w:t>
      </w:r>
      <w:r>
        <w:rPr>
          <w:b/>
          <w:bCs/>
          <w:lang w:val="en-US"/>
        </w:rPr>
        <w:t xml:space="preserve">: A UE reports the UE-specific TA to the network when the previously reported value differs from a current value by a pre-determined threshold. </w:t>
      </w:r>
    </w:p>
    <w:p w14:paraId="5FBEFD5D" w14:textId="77777777" w:rsidR="00F11B37" w:rsidRDefault="00F11B37" w:rsidP="00F11B37">
      <w:pPr>
        <w:rPr>
          <w:b/>
          <w:bCs/>
          <w:lang w:val="en-US"/>
        </w:rPr>
      </w:pPr>
      <w:r w:rsidRPr="008319A5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2</w:t>
      </w:r>
      <w:r>
        <w:rPr>
          <w:b/>
          <w:bCs/>
          <w:lang w:val="en-US"/>
        </w:rPr>
        <w:t>: The UE-specific TA is reported in an uplink semi-persistent scheduling (UL-SPS) message, such as the one used for reporting buffer status reports (BSRs) in NB-IoT.</w:t>
      </w:r>
    </w:p>
    <w:p w14:paraId="3D0AC761" w14:textId="77777777" w:rsidR="00F11B37" w:rsidRDefault="00F11B37" w:rsidP="00F11B37">
      <w:pPr>
        <w:rPr>
          <w:b/>
          <w:bCs/>
          <w:lang w:val="en-US"/>
        </w:rPr>
      </w:pPr>
      <w:r w:rsidRPr="005E6C8C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3</w:t>
      </w:r>
      <w:r w:rsidRPr="005E6C8C">
        <w:rPr>
          <w:b/>
          <w:bCs/>
          <w:lang w:val="en-US"/>
        </w:rPr>
        <w:t>: The definition of downlink interrupted subframes (e.g., those before and after a PUSCH, PRACH, PUCCH, and half-duplex guard periods), where a half-duplex UE is not expected to monitor PDCCH, is modified, in accordance with the large UE-specific TAs in NTN.</w:t>
      </w:r>
    </w:p>
    <w:p w14:paraId="618FB1F9" w14:textId="77777777" w:rsidR="00F11B37" w:rsidRPr="00BE1144" w:rsidRDefault="00F11B37" w:rsidP="00F11B37">
      <w:pPr>
        <w:rPr>
          <w:b/>
          <w:bCs/>
          <w:lang w:val="en-US"/>
        </w:rPr>
      </w:pPr>
      <w:r w:rsidRPr="00BE1144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4</w:t>
      </w:r>
      <w:r w:rsidRPr="00BE1144">
        <w:rPr>
          <w:b/>
          <w:bCs/>
        </w:rPr>
        <w:t>: Specifiy UE-specific K_offset(s) for IoT-NTN.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62880045" w14:textId="3C80099C" w:rsidR="003E3336" w:rsidRPr="004504C9" w:rsidRDefault="002902B9" w:rsidP="001B159B">
      <w:pPr>
        <w:rPr>
          <w:lang w:val="en-US"/>
        </w:rPr>
      </w:pPr>
      <w:r w:rsidRPr="00F752F5">
        <w:rPr>
          <w:lang w:val="en-US"/>
        </w:rPr>
        <w:t>[1]</w:t>
      </w:r>
      <w:r w:rsidRPr="00933FE6">
        <w:t xml:space="preserve"> </w:t>
      </w:r>
      <w:r w:rsidRPr="00A01D10">
        <w:rPr>
          <w:lang w:val="en-US"/>
        </w:rPr>
        <w:t>RP-211601</w:t>
      </w:r>
      <w:r>
        <w:rPr>
          <w:lang w:val="en-US"/>
        </w:rPr>
        <w:t>,</w:t>
      </w:r>
      <w:r w:rsidRPr="00F752F5">
        <w:rPr>
          <w:lang w:val="en-US"/>
        </w:rPr>
        <w:t xml:space="preserve"> </w:t>
      </w:r>
      <w:r w:rsidRPr="00E80C8F">
        <w:t>WID on NB-IoT/eMTC support for NTN</w:t>
      </w:r>
    </w:p>
    <w:sectPr w:rsidR="003E3336" w:rsidRPr="004504C9" w:rsidSect="00717CC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F018A" w14:textId="77777777" w:rsidR="00CD37DE" w:rsidRDefault="00CD37DE">
      <w:pPr>
        <w:spacing w:after="0"/>
      </w:pPr>
      <w:r>
        <w:separator/>
      </w:r>
    </w:p>
  </w:endnote>
  <w:endnote w:type="continuationSeparator" w:id="0">
    <w:p w14:paraId="66E26D55" w14:textId="77777777" w:rsidR="00CD37DE" w:rsidRDefault="00CD37DE">
      <w:pPr>
        <w:spacing w:after="0"/>
      </w:pPr>
      <w:r>
        <w:continuationSeparator/>
      </w:r>
    </w:p>
  </w:endnote>
  <w:endnote w:type="continuationNotice" w:id="1">
    <w:p w14:paraId="08EC49FF" w14:textId="77777777" w:rsidR="00CD37DE" w:rsidRDefault="00CD37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20ACB" w14:textId="77777777" w:rsidR="00CD37DE" w:rsidRDefault="00CD37DE">
      <w:pPr>
        <w:spacing w:after="0"/>
      </w:pPr>
      <w:r>
        <w:separator/>
      </w:r>
    </w:p>
  </w:footnote>
  <w:footnote w:type="continuationSeparator" w:id="0">
    <w:p w14:paraId="1A06E41E" w14:textId="77777777" w:rsidR="00CD37DE" w:rsidRDefault="00CD37DE">
      <w:pPr>
        <w:spacing w:after="0"/>
      </w:pPr>
      <w:r>
        <w:continuationSeparator/>
      </w:r>
    </w:p>
  </w:footnote>
  <w:footnote w:type="continuationNotice" w:id="1">
    <w:p w14:paraId="1EF688E3" w14:textId="77777777" w:rsidR="00CD37DE" w:rsidRDefault="00CD37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52D"/>
    <w:multiLevelType w:val="hybridMultilevel"/>
    <w:tmpl w:val="4362991E"/>
    <w:lvl w:ilvl="0" w:tplc="9B7699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505A8C"/>
    <w:multiLevelType w:val="hybridMultilevel"/>
    <w:tmpl w:val="05CE023E"/>
    <w:lvl w:ilvl="0" w:tplc="F8AEC0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15B"/>
    <w:multiLevelType w:val="hybridMultilevel"/>
    <w:tmpl w:val="50728B40"/>
    <w:lvl w:ilvl="0" w:tplc="A92433F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40B09"/>
    <w:multiLevelType w:val="hybridMultilevel"/>
    <w:tmpl w:val="A3882214"/>
    <w:lvl w:ilvl="0" w:tplc="D4A0B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9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EA71F53"/>
    <w:multiLevelType w:val="hybridMultilevel"/>
    <w:tmpl w:val="01EC27B2"/>
    <w:lvl w:ilvl="0" w:tplc="ED0C7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24"/>
  </w:num>
  <w:num w:numId="5">
    <w:abstractNumId w:val="16"/>
  </w:num>
  <w:num w:numId="6">
    <w:abstractNumId w:val="26"/>
  </w:num>
  <w:num w:numId="7">
    <w:abstractNumId w:val="28"/>
  </w:num>
  <w:num w:numId="8">
    <w:abstractNumId w:val="9"/>
  </w:num>
  <w:num w:numId="9">
    <w:abstractNumId w:val="30"/>
  </w:num>
  <w:num w:numId="10">
    <w:abstractNumId w:val="18"/>
  </w:num>
  <w:num w:numId="11">
    <w:abstractNumId w:val="6"/>
  </w:num>
  <w:num w:numId="12">
    <w:abstractNumId w:val="1"/>
  </w:num>
  <w:num w:numId="13">
    <w:abstractNumId w:val="32"/>
  </w:num>
  <w:num w:numId="14">
    <w:abstractNumId w:val="15"/>
  </w:num>
  <w:num w:numId="15">
    <w:abstractNumId w:val="7"/>
  </w:num>
  <w:num w:numId="16">
    <w:abstractNumId w:val="2"/>
  </w:num>
  <w:num w:numId="17">
    <w:abstractNumId w:val="10"/>
  </w:num>
  <w:num w:numId="18">
    <w:abstractNumId w:val="25"/>
  </w:num>
  <w:num w:numId="19">
    <w:abstractNumId w:val="19"/>
  </w:num>
  <w:num w:numId="20">
    <w:abstractNumId w:val="14"/>
  </w:num>
  <w:num w:numId="21">
    <w:abstractNumId w:val="17"/>
  </w:num>
  <w:num w:numId="22">
    <w:abstractNumId w:val="5"/>
  </w:num>
  <w:num w:numId="23">
    <w:abstractNumId w:val="29"/>
  </w:num>
  <w:num w:numId="24">
    <w:abstractNumId w:val="8"/>
  </w:num>
  <w:num w:numId="25">
    <w:abstractNumId w:val="31"/>
  </w:num>
  <w:num w:numId="26">
    <w:abstractNumId w:val="22"/>
  </w:num>
  <w:num w:numId="27">
    <w:abstractNumId w:val="4"/>
  </w:num>
  <w:num w:numId="28">
    <w:abstractNumId w:val="21"/>
  </w:num>
  <w:num w:numId="29">
    <w:abstractNumId w:val="23"/>
  </w:num>
  <w:num w:numId="30">
    <w:abstractNumId w:val="27"/>
  </w:num>
  <w:num w:numId="31">
    <w:abstractNumId w:val="13"/>
  </w:num>
  <w:num w:numId="32">
    <w:abstractNumId w:val="1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273BD"/>
    <w:rsid w:val="000369C3"/>
    <w:rsid w:val="00036B14"/>
    <w:rsid w:val="00037582"/>
    <w:rsid w:val="00037919"/>
    <w:rsid w:val="0004041F"/>
    <w:rsid w:val="00042869"/>
    <w:rsid w:val="00042BED"/>
    <w:rsid w:val="00045BDF"/>
    <w:rsid w:val="00045EFB"/>
    <w:rsid w:val="00046020"/>
    <w:rsid w:val="000500F7"/>
    <w:rsid w:val="00054E5C"/>
    <w:rsid w:val="00063D75"/>
    <w:rsid w:val="00063DAE"/>
    <w:rsid w:val="00064278"/>
    <w:rsid w:val="000707F2"/>
    <w:rsid w:val="0007530E"/>
    <w:rsid w:val="00081CDD"/>
    <w:rsid w:val="00085FF9"/>
    <w:rsid w:val="00087D07"/>
    <w:rsid w:val="00091116"/>
    <w:rsid w:val="00097E6B"/>
    <w:rsid w:val="000B1990"/>
    <w:rsid w:val="000C6FD1"/>
    <w:rsid w:val="000D4151"/>
    <w:rsid w:val="000E1342"/>
    <w:rsid w:val="000E330D"/>
    <w:rsid w:val="000E7606"/>
    <w:rsid w:val="000E792E"/>
    <w:rsid w:val="000F70C7"/>
    <w:rsid w:val="0010253A"/>
    <w:rsid w:val="001030EF"/>
    <w:rsid w:val="00114D8E"/>
    <w:rsid w:val="001172E8"/>
    <w:rsid w:val="00122D19"/>
    <w:rsid w:val="001232EC"/>
    <w:rsid w:val="00124E5D"/>
    <w:rsid w:val="00125DAC"/>
    <w:rsid w:val="0013602A"/>
    <w:rsid w:val="001369AD"/>
    <w:rsid w:val="0014302F"/>
    <w:rsid w:val="00144F61"/>
    <w:rsid w:val="00146E52"/>
    <w:rsid w:val="001536B5"/>
    <w:rsid w:val="00154C05"/>
    <w:rsid w:val="0015697F"/>
    <w:rsid w:val="0015790E"/>
    <w:rsid w:val="00166645"/>
    <w:rsid w:val="00172DAC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B624B"/>
    <w:rsid w:val="001C099B"/>
    <w:rsid w:val="001C3BBA"/>
    <w:rsid w:val="001C6F21"/>
    <w:rsid w:val="001C7BC2"/>
    <w:rsid w:val="001D0240"/>
    <w:rsid w:val="001D0759"/>
    <w:rsid w:val="001E008E"/>
    <w:rsid w:val="001E0B5B"/>
    <w:rsid w:val="001E1134"/>
    <w:rsid w:val="001F70E2"/>
    <w:rsid w:val="00205F8E"/>
    <w:rsid w:val="00207541"/>
    <w:rsid w:val="00207596"/>
    <w:rsid w:val="002162F8"/>
    <w:rsid w:val="002217B4"/>
    <w:rsid w:val="00230057"/>
    <w:rsid w:val="002424FF"/>
    <w:rsid w:val="00244F6A"/>
    <w:rsid w:val="00245257"/>
    <w:rsid w:val="002500D0"/>
    <w:rsid w:val="0025012E"/>
    <w:rsid w:val="00255F0A"/>
    <w:rsid w:val="00256BFC"/>
    <w:rsid w:val="00260902"/>
    <w:rsid w:val="00262FFA"/>
    <w:rsid w:val="00264BDF"/>
    <w:rsid w:val="00266E71"/>
    <w:rsid w:val="002742EE"/>
    <w:rsid w:val="002804CE"/>
    <w:rsid w:val="00287B8D"/>
    <w:rsid w:val="002902B9"/>
    <w:rsid w:val="00291786"/>
    <w:rsid w:val="0029388D"/>
    <w:rsid w:val="0029478C"/>
    <w:rsid w:val="00296171"/>
    <w:rsid w:val="002A30DB"/>
    <w:rsid w:val="002A5D6B"/>
    <w:rsid w:val="002B2E77"/>
    <w:rsid w:val="002B3546"/>
    <w:rsid w:val="002B57F0"/>
    <w:rsid w:val="002C343D"/>
    <w:rsid w:val="002C481C"/>
    <w:rsid w:val="002D0EEA"/>
    <w:rsid w:val="002D20C0"/>
    <w:rsid w:val="002D43BB"/>
    <w:rsid w:val="002D6DA9"/>
    <w:rsid w:val="002D79FA"/>
    <w:rsid w:val="002E0ABA"/>
    <w:rsid w:val="003009A5"/>
    <w:rsid w:val="00314B41"/>
    <w:rsid w:val="00315EF0"/>
    <w:rsid w:val="003214D1"/>
    <w:rsid w:val="003216E0"/>
    <w:rsid w:val="00321A89"/>
    <w:rsid w:val="003362EB"/>
    <w:rsid w:val="0033638B"/>
    <w:rsid w:val="00340BCE"/>
    <w:rsid w:val="00340D26"/>
    <w:rsid w:val="00343629"/>
    <w:rsid w:val="0035424A"/>
    <w:rsid w:val="00355044"/>
    <w:rsid w:val="00355ABE"/>
    <w:rsid w:val="00362F3B"/>
    <w:rsid w:val="00363577"/>
    <w:rsid w:val="00382105"/>
    <w:rsid w:val="0038329C"/>
    <w:rsid w:val="00386F50"/>
    <w:rsid w:val="00387099"/>
    <w:rsid w:val="003907A8"/>
    <w:rsid w:val="0039464A"/>
    <w:rsid w:val="003A012C"/>
    <w:rsid w:val="003A0390"/>
    <w:rsid w:val="003B0F05"/>
    <w:rsid w:val="003B2922"/>
    <w:rsid w:val="003C0419"/>
    <w:rsid w:val="003C0B13"/>
    <w:rsid w:val="003C2830"/>
    <w:rsid w:val="003C5BD8"/>
    <w:rsid w:val="003C7506"/>
    <w:rsid w:val="003E3336"/>
    <w:rsid w:val="003E4EB7"/>
    <w:rsid w:val="003F1061"/>
    <w:rsid w:val="003F14E0"/>
    <w:rsid w:val="003F60AF"/>
    <w:rsid w:val="00400A2E"/>
    <w:rsid w:val="00403D87"/>
    <w:rsid w:val="00404129"/>
    <w:rsid w:val="0040494C"/>
    <w:rsid w:val="004052F4"/>
    <w:rsid w:val="004054D3"/>
    <w:rsid w:val="00410A8D"/>
    <w:rsid w:val="0041454F"/>
    <w:rsid w:val="004147F2"/>
    <w:rsid w:val="0041506D"/>
    <w:rsid w:val="00421B57"/>
    <w:rsid w:val="00422609"/>
    <w:rsid w:val="00423CEA"/>
    <w:rsid w:val="00426EA5"/>
    <w:rsid w:val="00427E2F"/>
    <w:rsid w:val="00431380"/>
    <w:rsid w:val="00436176"/>
    <w:rsid w:val="00436D42"/>
    <w:rsid w:val="00440303"/>
    <w:rsid w:val="004456A9"/>
    <w:rsid w:val="00446569"/>
    <w:rsid w:val="004504C9"/>
    <w:rsid w:val="004523F4"/>
    <w:rsid w:val="00456A24"/>
    <w:rsid w:val="00457C6E"/>
    <w:rsid w:val="00461019"/>
    <w:rsid w:val="0046275D"/>
    <w:rsid w:val="00464CA3"/>
    <w:rsid w:val="0046551E"/>
    <w:rsid w:val="00476823"/>
    <w:rsid w:val="00476C2A"/>
    <w:rsid w:val="00480C10"/>
    <w:rsid w:val="00481F55"/>
    <w:rsid w:val="00483468"/>
    <w:rsid w:val="00483DE7"/>
    <w:rsid w:val="0049213F"/>
    <w:rsid w:val="0049613A"/>
    <w:rsid w:val="004A2F97"/>
    <w:rsid w:val="004A488A"/>
    <w:rsid w:val="004A772F"/>
    <w:rsid w:val="004B49AA"/>
    <w:rsid w:val="004C0ECA"/>
    <w:rsid w:val="004C5F77"/>
    <w:rsid w:val="004D3F76"/>
    <w:rsid w:val="004D4F96"/>
    <w:rsid w:val="004D634E"/>
    <w:rsid w:val="004E26B2"/>
    <w:rsid w:val="004E7551"/>
    <w:rsid w:val="004F25FD"/>
    <w:rsid w:val="004F53B6"/>
    <w:rsid w:val="004F622E"/>
    <w:rsid w:val="00500B75"/>
    <w:rsid w:val="00505979"/>
    <w:rsid w:val="0051062E"/>
    <w:rsid w:val="0051448E"/>
    <w:rsid w:val="00517C94"/>
    <w:rsid w:val="00517F9D"/>
    <w:rsid w:val="00520E7B"/>
    <w:rsid w:val="00520F4B"/>
    <w:rsid w:val="00521317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7366E"/>
    <w:rsid w:val="005778BD"/>
    <w:rsid w:val="00582CAB"/>
    <w:rsid w:val="00586156"/>
    <w:rsid w:val="0059466F"/>
    <w:rsid w:val="00595973"/>
    <w:rsid w:val="00597070"/>
    <w:rsid w:val="005A312F"/>
    <w:rsid w:val="005A65BE"/>
    <w:rsid w:val="005A6DE2"/>
    <w:rsid w:val="005A74CD"/>
    <w:rsid w:val="005B0A3D"/>
    <w:rsid w:val="005B5084"/>
    <w:rsid w:val="005B738C"/>
    <w:rsid w:val="005C4F4B"/>
    <w:rsid w:val="005D201C"/>
    <w:rsid w:val="005D5534"/>
    <w:rsid w:val="005D6B6E"/>
    <w:rsid w:val="005E55F7"/>
    <w:rsid w:val="005E6C8C"/>
    <w:rsid w:val="005F1605"/>
    <w:rsid w:val="005F3A25"/>
    <w:rsid w:val="00600B37"/>
    <w:rsid w:val="00601F79"/>
    <w:rsid w:val="00610DC9"/>
    <w:rsid w:val="00612769"/>
    <w:rsid w:val="00620296"/>
    <w:rsid w:val="006209CD"/>
    <w:rsid w:val="00623263"/>
    <w:rsid w:val="00632162"/>
    <w:rsid w:val="00635308"/>
    <w:rsid w:val="00640363"/>
    <w:rsid w:val="0064384F"/>
    <w:rsid w:val="006438A3"/>
    <w:rsid w:val="00647D8A"/>
    <w:rsid w:val="00651E33"/>
    <w:rsid w:val="006530FE"/>
    <w:rsid w:val="00662A01"/>
    <w:rsid w:val="00667A31"/>
    <w:rsid w:val="00674A20"/>
    <w:rsid w:val="006805FD"/>
    <w:rsid w:val="006807E3"/>
    <w:rsid w:val="006813FA"/>
    <w:rsid w:val="00683D31"/>
    <w:rsid w:val="006915FF"/>
    <w:rsid w:val="00694ED0"/>
    <w:rsid w:val="006A712D"/>
    <w:rsid w:val="006B2436"/>
    <w:rsid w:val="006B3A59"/>
    <w:rsid w:val="006B79E3"/>
    <w:rsid w:val="006C1D96"/>
    <w:rsid w:val="006C5ED9"/>
    <w:rsid w:val="006E175E"/>
    <w:rsid w:val="006E254E"/>
    <w:rsid w:val="006E7B65"/>
    <w:rsid w:val="00702EB8"/>
    <w:rsid w:val="007067A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0465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1101"/>
    <w:rsid w:val="007C370A"/>
    <w:rsid w:val="007C3908"/>
    <w:rsid w:val="007C475C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0FE0"/>
    <w:rsid w:val="00814286"/>
    <w:rsid w:val="00820856"/>
    <w:rsid w:val="008208F6"/>
    <w:rsid w:val="00820A4A"/>
    <w:rsid w:val="008221BA"/>
    <w:rsid w:val="008260B0"/>
    <w:rsid w:val="008319A5"/>
    <w:rsid w:val="0083283A"/>
    <w:rsid w:val="00835C35"/>
    <w:rsid w:val="008539A0"/>
    <w:rsid w:val="0085676B"/>
    <w:rsid w:val="008639B9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0F3C"/>
    <w:rsid w:val="008A385C"/>
    <w:rsid w:val="008A43E0"/>
    <w:rsid w:val="008B3FAF"/>
    <w:rsid w:val="008B6A31"/>
    <w:rsid w:val="008B7F3F"/>
    <w:rsid w:val="008C075D"/>
    <w:rsid w:val="008C6866"/>
    <w:rsid w:val="008C6B2A"/>
    <w:rsid w:val="008C724C"/>
    <w:rsid w:val="008D022D"/>
    <w:rsid w:val="008D58EC"/>
    <w:rsid w:val="008D60F7"/>
    <w:rsid w:val="008E469A"/>
    <w:rsid w:val="008F345D"/>
    <w:rsid w:val="008F3E1A"/>
    <w:rsid w:val="00900B1E"/>
    <w:rsid w:val="00900DDD"/>
    <w:rsid w:val="00901E73"/>
    <w:rsid w:val="00904028"/>
    <w:rsid w:val="00905BDA"/>
    <w:rsid w:val="00905CEA"/>
    <w:rsid w:val="00910683"/>
    <w:rsid w:val="00911E51"/>
    <w:rsid w:val="009227A4"/>
    <w:rsid w:val="00927AA0"/>
    <w:rsid w:val="00930937"/>
    <w:rsid w:val="00932470"/>
    <w:rsid w:val="00933FE6"/>
    <w:rsid w:val="00935E08"/>
    <w:rsid w:val="009423AD"/>
    <w:rsid w:val="0094584E"/>
    <w:rsid w:val="009467F5"/>
    <w:rsid w:val="00946B91"/>
    <w:rsid w:val="00946ECC"/>
    <w:rsid w:val="00952795"/>
    <w:rsid w:val="00953207"/>
    <w:rsid w:val="0095520E"/>
    <w:rsid w:val="00963807"/>
    <w:rsid w:val="00965F9D"/>
    <w:rsid w:val="00972BE8"/>
    <w:rsid w:val="00975017"/>
    <w:rsid w:val="00977172"/>
    <w:rsid w:val="00980734"/>
    <w:rsid w:val="00983CCC"/>
    <w:rsid w:val="00983EFA"/>
    <w:rsid w:val="0099393C"/>
    <w:rsid w:val="009A0514"/>
    <w:rsid w:val="009A3F14"/>
    <w:rsid w:val="009A63A0"/>
    <w:rsid w:val="009A6EF5"/>
    <w:rsid w:val="009B35DE"/>
    <w:rsid w:val="009B4B23"/>
    <w:rsid w:val="009B5D79"/>
    <w:rsid w:val="009C1283"/>
    <w:rsid w:val="009C1D18"/>
    <w:rsid w:val="009D25C6"/>
    <w:rsid w:val="009D5294"/>
    <w:rsid w:val="009E2C20"/>
    <w:rsid w:val="009F0072"/>
    <w:rsid w:val="009F4BFB"/>
    <w:rsid w:val="00A02592"/>
    <w:rsid w:val="00A06BA2"/>
    <w:rsid w:val="00A06D2F"/>
    <w:rsid w:val="00A06DC4"/>
    <w:rsid w:val="00A168C0"/>
    <w:rsid w:val="00A238B6"/>
    <w:rsid w:val="00A27BA8"/>
    <w:rsid w:val="00A30C68"/>
    <w:rsid w:val="00A33AC8"/>
    <w:rsid w:val="00A34ED4"/>
    <w:rsid w:val="00A40DBD"/>
    <w:rsid w:val="00A450A0"/>
    <w:rsid w:val="00A45641"/>
    <w:rsid w:val="00A45914"/>
    <w:rsid w:val="00A5043D"/>
    <w:rsid w:val="00A52349"/>
    <w:rsid w:val="00A544C8"/>
    <w:rsid w:val="00A54682"/>
    <w:rsid w:val="00A553CA"/>
    <w:rsid w:val="00A624A4"/>
    <w:rsid w:val="00A64E9E"/>
    <w:rsid w:val="00A65F7B"/>
    <w:rsid w:val="00A70500"/>
    <w:rsid w:val="00A8319B"/>
    <w:rsid w:val="00A86E0F"/>
    <w:rsid w:val="00A91281"/>
    <w:rsid w:val="00A9229B"/>
    <w:rsid w:val="00A9498E"/>
    <w:rsid w:val="00AA0C73"/>
    <w:rsid w:val="00AA43FE"/>
    <w:rsid w:val="00AA6350"/>
    <w:rsid w:val="00AA685A"/>
    <w:rsid w:val="00AB0159"/>
    <w:rsid w:val="00AB16E1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1253"/>
    <w:rsid w:val="00AF71CE"/>
    <w:rsid w:val="00B00EDB"/>
    <w:rsid w:val="00B01592"/>
    <w:rsid w:val="00B06C22"/>
    <w:rsid w:val="00B06E32"/>
    <w:rsid w:val="00B07575"/>
    <w:rsid w:val="00B07B9D"/>
    <w:rsid w:val="00B16A2A"/>
    <w:rsid w:val="00B17212"/>
    <w:rsid w:val="00B17547"/>
    <w:rsid w:val="00B25FF6"/>
    <w:rsid w:val="00B30767"/>
    <w:rsid w:val="00B32506"/>
    <w:rsid w:val="00B339A0"/>
    <w:rsid w:val="00B34CFC"/>
    <w:rsid w:val="00B3722A"/>
    <w:rsid w:val="00B40DA9"/>
    <w:rsid w:val="00B42AB1"/>
    <w:rsid w:val="00B44059"/>
    <w:rsid w:val="00B46110"/>
    <w:rsid w:val="00B4627F"/>
    <w:rsid w:val="00B50E38"/>
    <w:rsid w:val="00B517F2"/>
    <w:rsid w:val="00B53A01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2DC"/>
    <w:rsid w:val="00B82E59"/>
    <w:rsid w:val="00B84F3B"/>
    <w:rsid w:val="00B86860"/>
    <w:rsid w:val="00B96062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0D0A"/>
    <w:rsid w:val="00BC3A60"/>
    <w:rsid w:val="00BC54A0"/>
    <w:rsid w:val="00BD0F8A"/>
    <w:rsid w:val="00BD52C2"/>
    <w:rsid w:val="00BE1144"/>
    <w:rsid w:val="00BE7E96"/>
    <w:rsid w:val="00BF27FB"/>
    <w:rsid w:val="00BF66DB"/>
    <w:rsid w:val="00C05451"/>
    <w:rsid w:val="00C056B0"/>
    <w:rsid w:val="00C05C78"/>
    <w:rsid w:val="00C07A6B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0DB7"/>
    <w:rsid w:val="00C84CE5"/>
    <w:rsid w:val="00C90D68"/>
    <w:rsid w:val="00C94E0B"/>
    <w:rsid w:val="00CB2165"/>
    <w:rsid w:val="00CB37F3"/>
    <w:rsid w:val="00CB704C"/>
    <w:rsid w:val="00CC10E9"/>
    <w:rsid w:val="00CD37DE"/>
    <w:rsid w:val="00CD4191"/>
    <w:rsid w:val="00CD471E"/>
    <w:rsid w:val="00CD6583"/>
    <w:rsid w:val="00CE04F7"/>
    <w:rsid w:val="00CE6983"/>
    <w:rsid w:val="00D03AD4"/>
    <w:rsid w:val="00D047DA"/>
    <w:rsid w:val="00D04BEA"/>
    <w:rsid w:val="00D05C13"/>
    <w:rsid w:val="00D06194"/>
    <w:rsid w:val="00D0651D"/>
    <w:rsid w:val="00D10724"/>
    <w:rsid w:val="00D14140"/>
    <w:rsid w:val="00D15E27"/>
    <w:rsid w:val="00D201DA"/>
    <w:rsid w:val="00D24C0A"/>
    <w:rsid w:val="00D26187"/>
    <w:rsid w:val="00D2656E"/>
    <w:rsid w:val="00D3097D"/>
    <w:rsid w:val="00D31AEF"/>
    <w:rsid w:val="00D40150"/>
    <w:rsid w:val="00D4085B"/>
    <w:rsid w:val="00D434AA"/>
    <w:rsid w:val="00D435C2"/>
    <w:rsid w:val="00D43F0A"/>
    <w:rsid w:val="00D6066F"/>
    <w:rsid w:val="00D60EF1"/>
    <w:rsid w:val="00D61DA9"/>
    <w:rsid w:val="00D62A52"/>
    <w:rsid w:val="00D65537"/>
    <w:rsid w:val="00D76286"/>
    <w:rsid w:val="00D82162"/>
    <w:rsid w:val="00D8305F"/>
    <w:rsid w:val="00D90AFC"/>
    <w:rsid w:val="00D90D15"/>
    <w:rsid w:val="00D95F0C"/>
    <w:rsid w:val="00DA7FFB"/>
    <w:rsid w:val="00DB26F6"/>
    <w:rsid w:val="00DC6F4D"/>
    <w:rsid w:val="00DE20C2"/>
    <w:rsid w:val="00DE5EF4"/>
    <w:rsid w:val="00DF3E88"/>
    <w:rsid w:val="00DF469B"/>
    <w:rsid w:val="00E03FCE"/>
    <w:rsid w:val="00E06B08"/>
    <w:rsid w:val="00E07417"/>
    <w:rsid w:val="00E15ED1"/>
    <w:rsid w:val="00E2389A"/>
    <w:rsid w:val="00E251FD"/>
    <w:rsid w:val="00E26E6A"/>
    <w:rsid w:val="00E3117A"/>
    <w:rsid w:val="00E31684"/>
    <w:rsid w:val="00E32DDA"/>
    <w:rsid w:val="00E32EE8"/>
    <w:rsid w:val="00E357FC"/>
    <w:rsid w:val="00E37D8F"/>
    <w:rsid w:val="00E4711B"/>
    <w:rsid w:val="00E537D5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860F3"/>
    <w:rsid w:val="00E958B0"/>
    <w:rsid w:val="00E958E3"/>
    <w:rsid w:val="00E9595B"/>
    <w:rsid w:val="00EA2860"/>
    <w:rsid w:val="00EA2CBA"/>
    <w:rsid w:val="00EA7263"/>
    <w:rsid w:val="00EA74C5"/>
    <w:rsid w:val="00EB2E5E"/>
    <w:rsid w:val="00EB76BB"/>
    <w:rsid w:val="00EC2CE5"/>
    <w:rsid w:val="00EC720F"/>
    <w:rsid w:val="00ED1A12"/>
    <w:rsid w:val="00ED316F"/>
    <w:rsid w:val="00ED6A14"/>
    <w:rsid w:val="00EE564D"/>
    <w:rsid w:val="00EF15B3"/>
    <w:rsid w:val="00EF38BF"/>
    <w:rsid w:val="00EF4C3F"/>
    <w:rsid w:val="00EF786E"/>
    <w:rsid w:val="00F00BC4"/>
    <w:rsid w:val="00F0175D"/>
    <w:rsid w:val="00F0352C"/>
    <w:rsid w:val="00F03D87"/>
    <w:rsid w:val="00F1098D"/>
    <w:rsid w:val="00F10A93"/>
    <w:rsid w:val="00F11B37"/>
    <w:rsid w:val="00F127CE"/>
    <w:rsid w:val="00F1324F"/>
    <w:rsid w:val="00F22702"/>
    <w:rsid w:val="00F2289D"/>
    <w:rsid w:val="00F30092"/>
    <w:rsid w:val="00F31C29"/>
    <w:rsid w:val="00F321D7"/>
    <w:rsid w:val="00F34287"/>
    <w:rsid w:val="00F36DAE"/>
    <w:rsid w:val="00F43612"/>
    <w:rsid w:val="00F43A50"/>
    <w:rsid w:val="00F45DBB"/>
    <w:rsid w:val="00F460EB"/>
    <w:rsid w:val="00F46141"/>
    <w:rsid w:val="00F472FC"/>
    <w:rsid w:val="00F47E3B"/>
    <w:rsid w:val="00F50996"/>
    <w:rsid w:val="00F5209A"/>
    <w:rsid w:val="00F542EA"/>
    <w:rsid w:val="00F5785D"/>
    <w:rsid w:val="00F629D0"/>
    <w:rsid w:val="00F637C3"/>
    <w:rsid w:val="00F63972"/>
    <w:rsid w:val="00F67F4B"/>
    <w:rsid w:val="00F731F3"/>
    <w:rsid w:val="00F83FCC"/>
    <w:rsid w:val="00F85BD3"/>
    <w:rsid w:val="00F8682C"/>
    <w:rsid w:val="00F90E18"/>
    <w:rsid w:val="00F90E1B"/>
    <w:rsid w:val="00F92013"/>
    <w:rsid w:val="00FA00E1"/>
    <w:rsid w:val="00FA0994"/>
    <w:rsid w:val="00FA2448"/>
    <w:rsid w:val="00FA3D40"/>
    <w:rsid w:val="00FA4CAA"/>
    <w:rsid w:val="00FA693D"/>
    <w:rsid w:val="00FB1A4D"/>
    <w:rsid w:val="00FB5638"/>
    <w:rsid w:val="00FB59C6"/>
    <w:rsid w:val="00FB7C76"/>
    <w:rsid w:val="00FD4AD2"/>
    <w:rsid w:val="00FD7CBB"/>
    <w:rsid w:val="00FE44AD"/>
    <w:rsid w:val="00FF1B74"/>
    <w:rsid w:val="00FF2302"/>
    <w:rsid w:val="00FF2EA9"/>
    <w:rsid w:val="00FF3C1E"/>
    <w:rsid w:val="00FF51D2"/>
    <w:rsid w:val="00FF5A0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D4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8" ma:contentTypeDescription="Create a new document." ma:contentTypeScope="" ma:versionID="cce852ffee4cc15ba790472bdef89829">
  <xsd:schema xmlns:xsd="http://www.w3.org/2001/XMLSchema" xmlns:xs="http://www.w3.org/2001/XMLSchema" xmlns:p="http://schemas.microsoft.com/office/2006/metadata/properties" xmlns:ns2="b782a749-144d-48ae-8b94-9ef0c78e12ad" targetNamespace="http://schemas.microsoft.com/office/2006/metadata/properties" ma:root="true" ma:fieldsID="4ace60d3c3a6edea1c6220c3442d4911" ns2:_="">
    <xsd:import namespace="b782a749-144d-48ae-8b94-9ef0c78e12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4DF290-99E2-4123-B417-9AFD256CB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B294C-A934-4EF8-ADF0-9A26992FC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4</cp:revision>
  <cp:lastPrinted>2020-02-10T06:14:00Z</cp:lastPrinted>
  <dcterms:created xsi:type="dcterms:W3CDTF">2021-08-06T23:13:00Z</dcterms:created>
  <dcterms:modified xsi:type="dcterms:W3CDTF">2021-08-06T23:16:00Z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0x010100100AF53CD484D94BBA0B4FFC49EE7B30</vt:lpwstr>
  </property>
  <property fmtid="{D5CDD505-2E9C-101B-9397-08002B2CF9AE}" pid="3" name="_dlc_DocIdItemGuid">
    <vt:lpwstr>fb26ee5c-6a6a-440f-b70c-a3a5d11e97b3</vt:lpwstr>
  </property>
</Properties>
</file>